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xmlns:w16se="http://schemas.microsoft.com/office/word/2015/wordml/symex" mc:Ignorable="w14 w15 w16se wp14">
  <w:body>
    <w:p>
      <w:pPr>
        <w:pStyle w:val="heading1"/>
        <w:snapToGrid w:val="false"/>
        <w:spacing w:lineRule="auto"/>
        <w:ind/>
        <w:jc w:val="left"/>
        <w:rPr>
          <w:rFonts w:ascii="微软雅黑" w:hAnsi="微软雅黑" w:eastAsia="微软雅黑"/>
          <w:color w:val="0563C1"/>
        </w:rPr>
      </w:pPr>
      <w:r>
        <w:rPr>
          <w:rFonts w:ascii="微软雅黑" w:hAnsi="微软雅黑" w:eastAsia="微软雅黑"/>
          <w:color w:val="0563C1"/>
        </w:rPr>
        <w:t>签约指引</w:t>
      </w:r>
    </w:p>
    <w:p>
      <w:pPr>
        <w:pStyle w:val="heading3"/>
        <w:snapToGrid w:val="false"/>
        <w:spacing w:lineRule="auto"/>
        <w:ind/>
        <w:jc w:val="lef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注册上海有色网账号</w:t>
      </w:r>
    </w:p>
    <w:p>
      <w:pPr>
        <w:numPr>
          <w:ilvl w:val="0"/>
          <w:numId w:val="34"/>
        </w:numPr>
        <w:snapToGrid w:val="false"/>
        <w:spacing w:before="0" w:after="0" w:line="240" w:lineRule="auto"/>
        <w:ind w:hangingChars="160"/>
        <w:jc w:val="left"/>
        <w:rPr>
          <w:rFonts w:ascii="微软雅黑" w:hAnsi="微软雅黑" w:eastAsia="微软雅黑"/>
          <w:color w:val="333333"/>
          <w:sz w:val="24"/>
          <w:szCs w:val="24"/>
        </w:rPr>
      </w:pPr>
      <w:r>
        <w:rPr>
          <w:rFonts w:hint="eastAsia"/>
        </w:rPr>
      </w:r>
      <w:r>
        <w:rPr>
          <w:rFonts w:ascii="微软雅黑" w:hAnsi="微软雅黑" w:eastAsia="微软雅黑"/>
          <w:color w:val="333333"/>
          <w:sz w:val="24"/>
          <w:szCs w:val="24"/>
        </w:rPr>
        <w:t>打开安票达首页（https://www.anpiaoda.com）选择右上角“立即签约”</w:t>
      </w:r>
    </w:p>
    <w:p>
      <w:pPr>
        <w:snapToGrid w:val="false"/>
        <w:spacing w:before="0" w:after="0" w:line="240" w:lineRule="auto"/>
        <w:ind w:leftChars="182"/>
        <w:jc w:val="left"/>
        <w:rPr>
          <w:rFonts w:ascii="微软雅黑" w:hAnsi="微软雅黑" w:eastAsia="微软雅黑"/>
          <w:color w:val="333333"/>
          <w:sz w:val="24"/>
          <w:szCs w:val="24"/>
        </w:rPr>
      </w:pPr>
      <w:r>
        <w:rPr>
          <w:rFonts w:ascii="微软雅黑" w:hAnsi="微软雅黑" w:eastAsia="微软雅黑"/>
          <w:color w:val="333333"/>
          <w:sz w:val="24"/>
          <w:szCs w:val="24"/>
        </w:rPr>
        <w:drawing>
          <wp:inline distT="0" distB="0" distL="0" distR="0">
            <wp:extent cx="5760720" cy="4557852"/>
            <wp:effectExtent l="0" t="0" r="0" b="0"/>
            <wp:docPr id="1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5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0" w:after="0" w:line="240" w:lineRule="auto"/>
        <w:ind w:leftChars="182"/>
        <w:jc w:val="left"/>
        <w:rPr>
          <w:rFonts w:ascii="微软雅黑" w:hAnsi="微软雅黑" w:eastAsia="微软雅黑"/>
          <w:color w:val="333333"/>
          <w:sz w:val="24"/>
          <w:szCs w:val="24"/>
        </w:rPr>
      </w:pPr>
      <w:r>
        <w:rPr>
          <w:rFonts w:ascii="微软雅黑" w:hAnsi="微软雅黑" w:eastAsia="微软雅黑"/>
          <w:color w:val="333333"/>
          <w:sz w:val="24"/>
          <w:szCs w:val="24"/>
        </w:rPr>
      </w:r>
    </w:p>
    <w:p>
      <w:pPr>
        <w:numPr>
          <w:ilvl w:val="0"/>
          <w:numId w:val="34"/>
        </w:numPr>
        <w:snapToGrid w:val="false"/>
        <w:spacing w:before="0" w:after="0" w:line="240" w:lineRule="auto"/>
        <w:ind w:hangingChars="160"/>
        <w:jc w:val="left"/>
        <w:rPr>
          <w:rFonts w:ascii="微软雅黑" w:hAnsi="微软雅黑" w:eastAsia="微软雅黑"/>
          <w:color w:val="333333"/>
          <w:sz w:val="24"/>
          <w:szCs w:val="24"/>
        </w:rPr>
      </w:pPr>
      <w:r>
        <w:rPr>
          <w:rFonts w:hint="eastAsia"/>
        </w:rPr>
      </w:r>
      <w:r>
        <w:rPr>
          <w:rFonts w:ascii="微软雅黑" w:hAnsi="微软雅黑" w:eastAsia="微软雅黑"/>
          <w:color w:val="333333"/>
          <w:sz w:val="24"/>
          <w:szCs w:val="24"/>
        </w:rPr>
        <w:t>选择注册上海有色网企业账户</w:t>
      </w:r>
    </w:p>
    <w:p>
      <w:pPr>
        <w:snapToGrid w:val="false"/>
        <w:spacing w:before="0" w:after="0" w:line="240" w:lineRule="auto"/>
        <w:ind w:leftChars="182"/>
        <w:jc w:val="left"/>
        <w:rPr>
          <w:rFonts w:ascii="微软雅黑" w:hAnsi="微软雅黑" w:eastAsia="微软雅黑"/>
          <w:color w:val="333333"/>
          <w:sz w:val="24"/>
          <w:szCs w:val="24"/>
        </w:rPr>
      </w:pPr>
      <w:r>
        <w:rPr>
          <w:rFonts w:ascii="微软雅黑" w:hAnsi="微软雅黑" w:eastAsia="微软雅黑"/>
          <w:color w:val="333333"/>
          <w:sz w:val="24"/>
          <w:szCs w:val="24"/>
        </w:rPr>
        <w:drawing>
          <wp:inline distT="0" distB="0" distL="0" distR="0">
            <wp:extent cx="5760720" cy="3168022"/>
            <wp:effectExtent l="0" t="0" r="0" b="0"/>
            <wp:docPr id="2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0" w:after="0" w:line="240" w:lineRule="auto"/>
        <w:ind w:leftChars="182"/>
        <w:jc w:val="left"/>
        <w:rPr>
          <w:rFonts w:ascii="微软雅黑" w:hAnsi="微软雅黑" w:eastAsia="微软雅黑"/>
          <w:color w:val="333333"/>
          <w:sz w:val="24"/>
          <w:szCs w:val="24"/>
        </w:rPr>
      </w:pPr>
      <w:r>
        <w:rPr>
          <w:rFonts w:ascii="微软雅黑" w:hAnsi="微软雅黑" w:eastAsia="微软雅黑"/>
          <w:color w:val="333333"/>
          <w:sz w:val="24"/>
          <w:szCs w:val="24"/>
        </w:rPr>
      </w:r>
    </w:p>
    <w:p>
      <w:pPr>
        <w:numPr>
          <w:ilvl w:val="0"/>
          <w:numId w:val="34"/>
        </w:numPr>
        <w:snapToGrid w:val="false"/>
        <w:spacing w:before="0" w:after="0" w:line="240" w:lineRule="auto"/>
        <w:ind w:hangingChars="160"/>
        <w:jc w:val="left"/>
        <w:rPr>
          <w:rFonts w:ascii="微软雅黑" w:hAnsi="微软雅黑" w:eastAsia="微软雅黑"/>
          <w:color w:val="333333"/>
          <w:sz w:val="24"/>
          <w:szCs w:val="24"/>
        </w:rPr>
      </w:pPr>
      <w:r>
        <w:rPr>
          <w:rFonts w:hint="eastAsia"/>
        </w:rPr>
      </w:r>
      <w:r>
        <w:rPr>
          <w:rFonts w:ascii="微软雅黑" w:hAnsi="微软雅黑" w:eastAsia="微软雅黑"/>
          <w:color w:val="333333"/>
          <w:sz w:val="24"/>
          <w:szCs w:val="24"/>
        </w:rPr>
        <w:t>进入“上海有色网”企业账户注册页面，填写需要的信息，选择“下一步”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563C1"/>
          <w:sz w:val="21"/>
          <w:szCs w:val="21"/>
        </w:rPr>
      </w:pPr>
      <w:r>
        <w:rPr>
          <w:rFonts w:ascii="微软雅黑" w:hAnsi="微软雅黑" w:eastAsia="微软雅黑"/>
          <w:color w:val="0563C1"/>
          <w:sz w:val="21"/>
          <w:szCs w:val="21"/>
        </w:rPr>
        <w:drawing>
          <wp:inline distT="0" distB="0" distL="0" distR="0">
            <wp:extent cx="5760720" cy="4765488"/>
            <wp:effectExtent l="0" t="0" r="0" b="0"/>
            <wp:docPr id="3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6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563C1"/>
          <w:sz w:val="21"/>
          <w:szCs w:val="21"/>
        </w:rPr>
      </w:pPr>
      <w:r>
        <w:rPr>
          <w:rFonts w:ascii="微软雅黑" w:hAnsi="微软雅黑" w:eastAsia="微软雅黑"/>
          <w:color w:val="0563C1"/>
          <w:sz w:val="21"/>
          <w:szCs w:val="21"/>
        </w:rPr>
      </w:r>
    </w:p>
    <w:p>
      <w:pPr>
        <w:numPr>
          <w:ilvl w:val="0"/>
          <w:numId w:val="34"/>
        </w:numPr>
        <w:snapToGrid w:val="false"/>
        <w:spacing w:before="0" w:after="0" w:line="240" w:lineRule="auto"/>
        <w:ind w:hangingChars="160"/>
        <w:jc w:val="left"/>
        <w:rPr>
          <w:rFonts w:ascii="微软雅黑" w:hAnsi="微软雅黑" w:eastAsia="微软雅黑"/>
          <w:color w:val="333333"/>
          <w:sz w:val="24"/>
          <w:szCs w:val="24"/>
        </w:rPr>
      </w:pPr>
      <w:r>
        <w:rPr>
          <w:rFonts w:hint="eastAsia"/>
        </w:rPr>
      </w:r>
      <w:r>
        <w:rPr>
          <w:rFonts w:ascii="微软雅黑" w:hAnsi="微软雅黑" w:eastAsia="微软雅黑"/>
          <w:color w:val="333333"/>
          <w:sz w:val="24"/>
          <w:szCs w:val="24"/>
        </w:rPr>
        <w:t>设置登录账号（手机号）、登录密码，填写获取的短信验证码，提交注册</w:t>
      </w:r>
    </w:p>
    <w:p>
      <w:pPr>
        <w:snapToGrid w:val="false"/>
        <w:spacing w:before="0" w:after="0" w:line="240" w:lineRule="auto"/>
        <w:ind w:leftChars="182"/>
        <w:jc w:val="left"/>
        <w:rPr>
          <w:rFonts w:ascii="微软雅黑" w:hAnsi="微软雅黑" w:eastAsia="微软雅黑"/>
          <w:color w:val="333333"/>
          <w:sz w:val="24"/>
          <w:szCs w:val="24"/>
        </w:rPr>
      </w:pPr>
      <w:r>
        <w:rPr>
          <w:rFonts w:ascii="微软雅黑" w:hAnsi="微软雅黑" w:eastAsia="微软雅黑"/>
          <w:color w:val="333333"/>
          <w:sz w:val="24"/>
          <w:szCs w:val="24"/>
        </w:rPr>
      </w:r>
    </w:p>
    <w:p>
      <w:pPr>
        <w:numPr>
          <w:ilvl w:val="0"/>
          <w:numId w:val="34"/>
        </w:numPr>
        <w:snapToGrid w:val="false"/>
        <w:spacing w:before="0" w:after="0" w:line="240" w:lineRule="auto"/>
        <w:ind w:hangingChars="160"/>
        <w:jc w:val="left"/>
        <w:rPr>
          <w:rFonts w:ascii="微软雅黑" w:hAnsi="微软雅黑" w:eastAsia="微软雅黑"/>
          <w:color w:val="333333"/>
          <w:sz w:val="24"/>
          <w:szCs w:val="24"/>
        </w:rPr>
      </w:pPr>
      <w:r>
        <w:rPr>
          <w:rFonts w:hint="eastAsia"/>
        </w:rPr>
      </w:r>
      <w:r>
        <w:rPr>
          <w:rFonts w:ascii="微软雅黑" w:hAnsi="微软雅黑" w:eastAsia="微软雅黑"/>
          <w:color w:val="333333"/>
          <w:sz w:val="24"/>
          <w:szCs w:val="24"/>
        </w:rPr>
        <w:t>根据提示，完成企业实名认证</w:t>
      </w:r>
    </w:p>
    <w:p>
      <w:pPr>
        <w:snapToGrid w:val="false"/>
        <w:spacing w:before="0" w:after="0" w:line="240" w:lineRule="auto"/>
        <w:ind/>
        <w:jc w:val="both"/>
        <w:rPr>
          <w:rFonts w:ascii="微软雅黑" w:hAnsi="微软雅黑" w:eastAsia="微软雅黑"/>
          <w:color w:val="65686E"/>
          <w:sz w:val="21"/>
          <w:szCs w:val="21"/>
          <w:shd w:val="clear" w:fill="FFFFFF"/>
        </w:rPr>
      </w:pPr>
      <w:r>
        <w:rPr>
          <w:rFonts w:ascii="微软雅黑" w:hAnsi="微软雅黑" w:eastAsia="微软雅黑"/>
          <w:color w:val="65686E"/>
          <w:sz w:val="21"/>
          <w:szCs w:val="21"/>
          <w:shd w:val="clear" w:fill="FFFFFF"/>
        </w:rPr>
        <w:t>企业实名认证。认证企业时，如选择我是代理人，法人信息也需要补充身份证号码以及有效期</w:t>
      </w:r>
    </w:p>
    <w:p>
      <w:pPr>
        <w:snapToGrid w:val="false"/>
        <w:spacing w:before="0" w:after="0" w:line="240" w:lineRule="auto"/>
        <w:ind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760720" cy="2514152"/>
            <wp:effectExtent l="0" t="0" r="0" b="0"/>
            <wp:docPr id="4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0" w:after="0" w:line="240" w:lineRule="auto"/>
        <w:ind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760720" cy="3029658"/>
            <wp:effectExtent l="0" t="0" r="0" b="0"/>
            <wp:docPr id="5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9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0" w:after="0" w:line="240" w:lineRule="auto"/>
        <w:ind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</w:p>
    <w:p>
      <w:pPr>
        <w:snapToGrid w:val="false"/>
        <w:spacing w:before="0" w:after="0" w:line="240" w:lineRule="auto"/>
        <w:ind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760720" cy="3303298"/>
            <wp:effectExtent l="0" t="0" r="0" b="0"/>
            <wp:docPr id="6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0" w:after="0" w:line="240" w:lineRule="auto"/>
        <w:ind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</w:p>
    <w:p>
      <w:pPr>
        <w:pStyle w:val="heading3"/>
        <w:snapToGrid w:val="false"/>
        <w:spacing w:lineRule="auto"/>
        <w:ind/>
        <w:jc w:val="left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授权登录并签约</w:t>
      </w:r>
    </w:p>
    <w:p>
      <w:pPr>
        <w:numPr>
          <w:ilvl w:val="0"/>
          <w:numId w:val="33"/>
        </w:numPr>
        <w:snapToGrid w:val="false"/>
        <w:spacing w:before="0" w:after="0" w:line="240" w:lineRule="auto"/>
        <w:ind w:hangingChars="160"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/>
        </w:rPr>
      </w:r>
      <w:r>
        <w:rPr>
          <w:rFonts w:ascii="微软雅黑" w:hAnsi="微软雅黑" w:eastAsia="微软雅黑"/>
          <w:color w:val="000000"/>
          <w:sz w:val="21"/>
          <w:szCs w:val="21"/>
        </w:rPr>
        <w:t>使用“上海有色网”账户授权登录安票达进行企业签约</w:t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</w:p>
    <w:p>
      <w:pPr>
        <w:snapToGrid w:val="false"/>
        <w:spacing w:before="0" w:after="0" w:line="240" w:lineRule="auto"/>
        <w:ind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760720" cy="2783703"/>
            <wp:effectExtent l="0" t="0" r="0" b="0"/>
            <wp:docPr id="7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0" w:after="0" w:line="240" w:lineRule="auto"/>
        <w:ind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581650" cy="4533900"/>
            <wp:effectExtent l="0" t="0" r="0" b="0"/>
            <wp:docPr id="8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0" w:after="0" w:line="240" w:lineRule="auto"/>
        <w:ind/>
        <w:jc w:val="both"/>
        <w:rPr>
          <w:rFonts w:ascii="微软雅黑" w:hAnsi="微软雅黑" w:eastAsia="微软雅黑"/>
          <w:color w:val="65686E"/>
          <w:sz w:val="21"/>
          <w:szCs w:val="21"/>
          <w:shd w:val="clear" w:fill="FFFFFF"/>
        </w:rPr>
      </w:pPr>
      <w:r>
        <w:rPr>
          <w:rFonts w:ascii="微软雅黑" w:hAnsi="微软雅黑" w:eastAsia="微软雅黑"/>
          <w:color w:val="65686E"/>
          <w:sz w:val="21"/>
          <w:szCs w:val="21"/>
          <w:shd w:val="clear" w:fill="FFFFFF"/>
        </w:rPr>
      </w:r>
    </w:p>
    <w:p>
      <w:pPr>
        <w:snapToGrid w:val="false"/>
        <w:spacing w:before="0" w:after="0" w:line="240" w:lineRule="auto"/>
        <w:ind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</w:p>
    <w:p>
      <w:pPr>
        <w:numPr>
          <w:ilvl w:val="0"/>
          <w:numId w:val="33"/>
        </w:numPr>
        <w:snapToGrid w:val="false"/>
        <w:spacing w:before="0" w:after="0" w:line="240" w:lineRule="auto"/>
        <w:ind w:hangingChars="160"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/>
        </w:rPr>
      </w:r>
      <w:r>
        <w:rPr>
          <w:rFonts w:ascii="微软雅黑" w:hAnsi="微软雅黑" w:eastAsia="微软雅黑"/>
          <w:color w:val="000000"/>
          <w:sz w:val="21"/>
          <w:szCs w:val="21"/>
        </w:rPr>
        <w:t>填写安票达补充资料</w:t>
      </w:r>
    </w:p>
    <w:p>
      <w:pPr>
        <w:snapToGrid w:val="false"/>
        <w:spacing w:before="0" w:after="0" w:line="240" w:lineRule="auto"/>
        <w:ind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760720" cy="3693896"/>
            <wp:effectExtent l="0" t="0" r="0" b="0"/>
            <wp:docPr id="9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3"/>
        </w:numPr>
        <w:snapToGrid w:val="false"/>
        <w:spacing w:before="0" w:after="0" w:line="240" w:lineRule="auto"/>
        <w:ind w:hangingChars="160" w:firstLineChars="150"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/>
        </w:rPr>
      </w:r>
      <w:r>
        <w:rPr>
          <w:rFonts w:ascii="微软雅黑" w:hAnsi="微软雅黑" w:eastAsia="微软雅黑"/>
          <w:color w:val="000000"/>
          <w:sz w:val="21"/>
          <w:szCs w:val="21"/>
        </w:rPr>
        <w:t>合同签署及授权用户</w:t>
      </w:r>
    </w:p>
    <w:p>
      <w:pPr>
        <w:snapToGrid w:val="false"/>
        <w:spacing w:before="0" w:after="0" w:line="240" w:lineRule="auto"/>
        <w:ind w:left="360" w:firstLine="0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760720" cy="2245971"/>
            <wp:effectExtent l="0" t="0" r="0" b="0"/>
            <wp:docPr id="1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4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0" w:after="0" w:line="240" w:lineRule="auto"/>
        <w:ind w:left="360" w:firstLine="0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</w:p>
    <w:p>
      <w:pPr>
        <w:snapToGrid w:val="false"/>
        <w:spacing w:before="0" w:after="0" w:line="240" w:lineRule="auto"/>
        <w:ind w:left="360" w:firstLine="0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</w:p>
    <w:p>
      <w:pPr>
        <w:snapToGrid w:val="false"/>
        <w:spacing w:before="0" w:after="0" w:line="240" w:lineRule="auto"/>
        <w:ind w:left="360" w:firstLine="0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</w:p>
    <w:p>
      <w:pPr>
        <w:snapToGrid w:val="false"/>
        <w:spacing w:before="0" w:after="0" w:line="240" w:lineRule="auto"/>
        <w:ind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760720" cy="4178603"/>
            <wp:effectExtent l="0" t="0" r="0" b="0"/>
            <wp:docPr id="11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false"/>
        <w:spacing w:before="0" w:after="0" w:line="240" w:lineRule="auto"/>
        <w:ind w:leftChars="160" w:firstLine="0"/>
        <w:jc w:val="left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</w:p>
    <w:p>
      <w:pPr>
        <w:numPr>
          <w:ilvl w:val="0"/>
          <w:numId w:val="33"/>
        </w:numPr>
        <w:snapToGrid w:val="false"/>
        <w:spacing w:before="0" w:after="0" w:line="240" w:lineRule="auto"/>
        <w:ind w:hangingChars="160" w:firstLine="0"/>
        <w:jc w:val="left"/>
        <w:rPr>
          <w:rFonts w:ascii="微软雅黑" w:hAnsi="微软雅黑" w:eastAsia="微软雅黑"/>
          <w:color w:val="65686E"/>
          <w:sz w:val="21"/>
          <w:szCs w:val="21"/>
          <w:shd w:val="clear" w:fill="FFFFFF"/>
        </w:rPr>
      </w:pPr>
      <w:r>
        <w:rPr>
          <w:rFonts w:hint="eastAsia"/>
        </w:rPr>
      </w:r>
      <w:r>
        <w:rPr>
          <w:rFonts w:ascii="微软雅黑" w:hAnsi="微软雅黑" w:eastAsia="微软雅黑"/>
          <w:color w:val="000000"/>
          <w:sz w:val="21"/>
          <w:szCs w:val="21"/>
        </w:rPr>
        <w:t>授权注册成功后，企业通过网银账户转账随机金额到虚拟账号，完成账户鉴权（打款码非必填）</w:t>
      </w:r>
    </w:p>
    <w:p>
      <w:pPr>
        <w:snapToGrid w:val="false"/>
        <w:spacing w:before="0" w:after="0" w:line="240" w:lineRule="auto"/>
        <w:ind w:left="360" w:firstLine="0"/>
        <w:jc w:val="both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ascii="微软雅黑" w:hAnsi="微软雅黑" w:eastAsia="微软雅黑"/>
          <w:color w:val="000000"/>
          <w:sz w:val="21"/>
          <w:szCs w:val="21"/>
        </w:rPr>
        <w:drawing>
          <wp:inline distT="0" distB="0" distL="0" distR="0">
            <wp:extent cx="5760720" cy="4651455"/>
            <wp:effectExtent l="0" t="0" r="0" b="0"/>
            <wp:docPr id="12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04EC">
      <w:pgSz w:w="16838" w:h="11906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>
  <w:abstractNum w:abstractNumId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hint="default" w:ascii="Wingdings" w:hAnsi="Wingdings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hint="default" w:ascii="Wingdings" w:hAnsi="Wingdings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hint="default" w:ascii="Wingdings" w:hAnsi="Wingdings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hint="default" w:ascii="Wingdings" w:hAnsi="Wingdings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hint="default" w:ascii="Wingdings" w:hAnsi="Wingdings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hint="default" w:ascii="Wingdings" w:hAnsi="Wingdings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hint="default" w:ascii="Wingdings" w:hAnsi="Wingdings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hint="default" w:ascii="Wingdings" w:hAnsi="Wingdings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hint="default" w:ascii="Wingdings" w:hAnsi="Wingdings"/>
      </w:rPr>
    </w:lvl>
  </w:abstractNum>
  <w:abstractNum w:abstractNumId="1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hint="default" w:ascii="Wingdings" w:hAnsi="Wingdings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hint="default" w:ascii="Wingdings" w:hAnsi="Wingdings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hint="default" w:ascii="Wingdings" w:hAnsi="Wingdings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hint="default" w:ascii="Wingdings" w:hAnsi="Wingdings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hint="default" w:ascii="Wingdings" w:hAnsi="Wingdings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hint="default" w:ascii="Wingdings" w:hAnsi="Wingdings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hint="default" w:ascii="Wingdings" w:hAnsi="Wingdings"/>
      </w:rPr>
    </w:lvl>
  </w:abstractNum>
  <w:abstractNum w:abstractNumId="2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hint="default" w:ascii="Wingdings" w:hAnsi="Wingdings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hint="default" w:ascii="Wingdings" w:hAnsi="Wingdings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hint="default" w:ascii="Wingdings" w:hAnsi="Wingdings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hint="default" w:ascii="Wingdings" w:hAnsi="Wingdings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hint="default" w:ascii="Wingdings" w:hAnsi="Wingdings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hint="default" w:ascii="Wingdings" w:hAnsi="Wingdings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hint="default" w:ascii="Wingdings" w:hAnsi="Wingdings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hint="default" w:ascii="Wingdings" w:hAnsi="Wingdings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hint="default" w:ascii="Wingdings" w:hAnsi="Wingdings"/>
      </w:rPr>
    </w:lvl>
  </w:abstractNum>
  <w:abstractNum w:abstractNumId="3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3">
    <w:multiLevelType w:val="multilevel"/>
    <w:lvl w:ilvl="0" w:tentative="false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false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false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false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false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false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false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false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34">
    <w:multiLevelType w:val="multilevel"/>
    <w:lvl w:ilvl="0" w:tentative="false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false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false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false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false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false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false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false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abstractNum w:abstractNumId="35">
    <w:multiLevelType w:val="multilevel"/>
    <w:lvl w:ilvl="0" w:tentative="false">
      <w:start w:val="1"/>
      <w:numFmt w:val="decimal"/>
      <w:lvlText w:val="%1、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false">
      <w:start w:val="1"/>
      <w:numFmt w:val="lowerLetter"/>
      <w:lvlText w:val="%2)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false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false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false">
      <w:start w:val="1"/>
      <w:numFmt w:val="lowerLetter"/>
      <w:lvlText w:val="%5)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false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false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false">
      <w:start w:val="1"/>
      <w:numFmt w:val="lowerLetter"/>
      <w:lvlText w:val="%8)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false">
      <w:start w:val="1"/>
      <w:numFmt w:val="lowerRoman"/>
      <w:lvlText w:val="%9.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>
  <w:docDefaults>
    <w:rPrDefault>
      <w:rPr>
        <w:rFonts w:asciiTheme="minorHAnsi" w:hAnsiTheme="minorHAnsi" w:eastAsiaTheme="minorEastAsia" w:cstheme="minorBidi"/>
        <w:lang w:val="en-US" w:eastAsia="zh-CN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nhideWhenUsed="true" w:qFormat="true"/>
    <w:lsdException w:name="footer" w:unhideWhenUsed="true" w:qFormat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unhideWhenUsed="true" w:qFormat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 w:qFormat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 w:qFormat="true"/>
    <w:lsdException w:name="Table Theme" w:semiHidden="true" w:unhideWhenUsed="true"/>
    <w:lsdException w:name="Placeholder Text" w:semiHidden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true">
    <w:name w:val="Normal"/>
    <w:qFormat/>
    <w:pPr>
      <w:widowControl w:val="false"/>
      <w:jc w:val="both"/>
    </w:pPr>
    <w:rPr>
      <w:kern w:val="2"/>
      <w:sz w:val="21"/>
      <w:szCs w:val="22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false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false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false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6" w:customStyle="true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styleId="a4" w:customStyle="true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="420" w:firstLineChars="200"/>
    </w:pPr>
  </w:style>
  <w:style w:type="paragraph" w:styleId="heading1">
    <w:name w:val="heading 1"/>
    <w:basedOn w:val="a"/>
    <w:next w:val="a"/>
    <w:uiPriority w:val="9"/>
    <w:qFormat/>
    <w:rsid w:val="001C768A"/>
    <w:pPr>
      <w:keepNext/>
      <w:keepLines/>
      <w:spacing w:before="240" w:after="240" w:line="408" w:lineRule="auto"/>
      <w:jc w:val="left"/>
      <w:outlineLvl w:val="0"/>
    </w:pPr>
    <w:rPr>
      <w:b/>
      <w:bCs/>
      <w:color w:val="#000000"/>
      <w:kern w:val="44"/>
      <w:sz w:val="44"/>
      <w:szCs w:val="44"/>
    </w:rPr>
  </w:style>
  <w:style w:type="paragraph" w:styleId="heading3">
    <w:name w:val="heading 3"/>
    <w:basedOn w:val="a"/>
    <w:next w:val="a"/>
    <w:uiPriority w:val="9"/>
    <w:unhideWhenUsed/>
    <w:qFormat/>
    <w:rsid w:val="001C768A"/>
    <w:pPr>
      <w:keepNext/>
      <w:keepLines/>
      <w:spacing w:before="200" w:after="200" w:line="360" w:lineRule="auto"/>
      <w:jc w:val="left"/>
      <w:outlineLvl w:val="2"/>
    </w:pPr>
    <w:rPr>
      <w:b/>
      <w:bCs/>
      <w:color w:val="#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media/document_image_rId9.png" Type="http://schemas.openxmlformats.org/officeDocument/2006/relationships/image" Id="rId9"/><Relationship Target="media/document_image_rId10.png" Type="http://schemas.openxmlformats.org/officeDocument/2006/relationships/image" Id="rId10"/><Relationship Target="media/document_image_rId11.png" Type="http://schemas.openxmlformats.org/officeDocument/2006/relationships/image" Id="rId11"/><Relationship Target="media/document_image_rId12.png" Type="http://schemas.openxmlformats.org/officeDocument/2006/relationships/image" Id="rId12"/><Relationship Target="media/document_image_rId13.png" Type="http://schemas.openxmlformats.org/officeDocument/2006/relationships/image" Id="rId13"/><Relationship Target="media/document_image_rId14.png" Type="http://schemas.openxmlformats.org/officeDocument/2006/relationships/image" Id="rId14"/><Relationship Target="media/document_image_rId15.png" Type="http://schemas.openxmlformats.org/officeDocument/2006/relationships/image" Id="rId15"/><Relationship Target="media/document_image_rId16.png" Type="http://schemas.openxmlformats.org/officeDocument/2006/relationships/image" Id="rId16"/><Relationship Target="media/document_image_rId17.png" Type="http://schemas.openxmlformats.org/officeDocument/2006/relationships/image" Id="rId17"/><Relationship Target="media/document_image_rId18.png" Type="http://schemas.openxmlformats.org/officeDocument/2006/relationships/image" Id="rId18"/><Relationship Target="media/document_image_rId19.png" Type="http://schemas.openxmlformats.org/officeDocument/2006/relationships/image" Id="rId19"/><Relationship Target="media/document_image_rId20.png" Type="http://schemas.openxmlformats.org/officeDocument/2006/relationships/image" Id="rId20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Tencent</properties:Application>
  <properties:AppVersion>3.3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